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60D" w:rsidRPr="00146132" w:rsidRDefault="00EF060D" w:rsidP="00EF060D">
      <w:pPr>
        <w:rPr>
          <w:rFonts w:ascii="Times New Roman" w:hAnsi="Times New Roman"/>
          <w:sz w:val="22"/>
        </w:rPr>
      </w:pPr>
      <w:r w:rsidRPr="00146132">
        <w:rPr>
          <w:rFonts w:ascii="Times New Roman" w:hAnsi="Times New Roman"/>
          <w:sz w:val="22"/>
        </w:rPr>
        <w:t xml:space="preserve">Lisa Young: Party State and Political Competition in Canada: The Cartel Model Reconsidered. </w:t>
      </w:r>
    </w:p>
    <w:p w:rsidR="00EF060D" w:rsidRPr="00146132" w:rsidRDefault="00EF060D" w:rsidP="00EF060D">
      <w:pPr>
        <w:rPr>
          <w:rFonts w:ascii="Times New Roman" w:hAnsi="Times New Roman"/>
          <w:sz w:val="22"/>
        </w:rPr>
      </w:pPr>
    </w:p>
    <w:p w:rsidR="00EF060D" w:rsidRPr="00146132" w:rsidRDefault="00EF060D" w:rsidP="00EF060D">
      <w:pPr>
        <w:rPr>
          <w:rFonts w:ascii="Times New Roman" w:hAnsi="Times New Roman"/>
          <w:sz w:val="22"/>
        </w:rPr>
      </w:pPr>
      <w:r w:rsidRPr="00146132">
        <w:rPr>
          <w:rFonts w:ascii="Times New Roman" w:hAnsi="Times New Roman"/>
          <w:b/>
          <w:sz w:val="22"/>
        </w:rPr>
        <w:t xml:space="preserve">Thesis: </w:t>
      </w:r>
      <w:r w:rsidRPr="00146132">
        <w:rPr>
          <w:rFonts w:ascii="Times New Roman" w:hAnsi="Times New Roman"/>
          <w:sz w:val="22"/>
        </w:rPr>
        <w:t xml:space="preserve">Argues that the cartel party thesis is not supported by empirical evidence in the Canadian case. </w:t>
      </w:r>
    </w:p>
    <w:p w:rsidR="00EF060D" w:rsidRPr="00146132" w:rsidRDefault="00EF060D" w:rsidP="00EF060D">
      <w:pPr>
        <w:rPr>
          <w:rFonts w:ascii="Times New Roman" w:hAnsi="Times New Roman"/>
          <w:b/>
          <w:sz w:val="22"/>
        </w:rPr>
      </w:pPr>
    </w:p>
    <w:p w:rsidR="00EF060D" w:rsidRPr="00146132" w:rsidRDefault="00EF060D" w:rsidP="00EF060D">
      <w:pPr>
        <w:rPr>
          <w:rFonts w:ascii="Times New Roman" w:hAnsi="Times New Roman"/>
          <w:b/>
          <w:sz w:val="22"/>
        </w:rPr>
      </w:pPr>
      <w:r w:rsidRPr="00146132">
        <w:rPr>
          <w:rFonts w:ascii="Times New Roman" w:hAnsi="Times New Roman"/>
          <w:b/>
          <w:sz w:val="22"/>
        </w:rPr>
        <w:t>Summary:</w:t>
      </w:r>
    </w:p>
    <w:p w:rsidR="00EF060D" w:rsidRPr="00146132" w:rsidRDefault="00EF060D" w:rsidP="00EF060D">
      <w:pPr>
        <w:pStyle w:val="ListParagraph"/>
        <w:numPr>
          <w:ilvl w:val="0"/>
          <w:numId w:val="1"/>
        </w:numPr>
        <w:rPr>
          <w:rFonts w:ascii="Times New Roman" w:hAnsi="Times New Roman"/>
          <w:sz w:val="22"/>
        </w:rPr>
      </w:pPr>
      <w:r w:rsidRPr="00146132">
        <w:rPr>
          <w:rFonts w:ascii="Times New Roman" w:hAnsi="Times New Roman"/>
          <w:sz w:val="22"/>
        </w:rPr>
        <w:t xml:space="preserve">Seeks to prove that Katz and </w:t>
      </w:r>
      <w:proofErr w:type="spellStart"/>
      <w:proofErr w:type="gramStart"/>
      <w:r w:rsidRPr="00146132">
        <w:rPr>
          <w:rFonts w:ascii="Times New Roman" w:hAnsi="Times New Roman"/>
          <w:sz w:val="22"/>
        </w:rPr>
        <w:t>Mair</w:t>
      </w:r>
      <w:proofErr w:type="spellEnd"/>
      <w:r w:rsidRPr="00146132">
        <w:rPr>
          <w:rFonts w:ascii="Times New Roman" w:hAnsi="Times New Roman"/>
          <w:sz w:val="22"/>
        </w:rPr>
        <w:t xml:space="preserve">  Cartel</w:t>
      </w:r>
      <w:proofErr w:type="gramEnd"/>
      <w:r w:rsidRPr="00146132">
        <w:rPr>
          <w:rFonts w:ascii="Times New Roman" w:hAnsi="Times New Roman"/>
          <w:sz w:val="22"/>
        </w:rPr>
        <w:t xml:space="preserve"> Party theory – formation of party cartels in which parties collude to provide themselves with state funding and thereby block the entry of new parties. – </w:t>
      </w:r>
      <w:proofErr w:type="gramStart"/>
      <w:r w:rsidRPr="00146132">
        <w:rPr>
          <w:rFonts w:ascii="Times New Roman" w:hAnsi="Times New Roman"/>
          <w:sz w:val="22"/>
        </w:rPr>
        <w:t>does</w:t>
      </w:r>
      <w:proofErr w:type="gramEnd"/>
      <w:r w:rsidRPr="00146132">
        <w:rPr>
          <w:rFonts w:ascii="Times New Roman" w:hAnsi="Times New Roman"/>
          <w:sz w:val="22"/>
        </w:rPr>
        <w:t xml:space="preserve"> not apply to Canada</w:t>
      </w:r>
    </w:p>
    <w:p w:rsidR="00EF060D" w:rsidRPr="00146132" w:rsidRDefault="00EF060D" w:rsidP="00EF060D">
      <w:pPr>
        <w:pStyle w:val="ListParagraph"/>
        <w:numPr>
          <w:ilvl w:val="0"/>
          <w:numId w:val="1"/>
        </w:numPr>
        <w:rPr>
          <w:rFonts w:ascii="Times New Roman" w:hAnsi="Times New Roman"/>
          <w:sz w:val="22"/>
        </w:rPr>
      </w:pPr>
      <w:r w:rsidRPr="00146132">
        <w:rPr>
          <w:rFonts w:ascii="Times New Roman" w:hAnsi="Times New Roman"/>
          <w:sz w:val="22"/>
        </w:rPr>
        <w:t>To test the cartel model Young seeks to substantiate four claims:</w:t>
      </w:r>
    </w:p>
    <w:p w:rsidR="00EF060D" w:rsidRPr="00146132" w:rsidRDefault="00EF060D" w:rsidP="00EF060D">
      <w:pPr>
        <w:pStyle w:val="ListParagraph"/>
        <w:numPr>
          <w:ilvl w:val="1"/>
          <w:numId w:val="1"/>
        </w:numPr>
        <w:rPr>
          <w:rFonts w:ascii="Times New Roman" w:hAnsi="Times New Roman"/>
          <w:sz w:val="22"/>
        </w:rPr>
      </w:pPr>
      <w:r w:rsidRPr="00146132">
        <w:rPr>
          <w:rFonts w:ascii="Times New Roman" w:hAnsi="Times New Roman"/>
          <w:sz w:val="22"/>
        </w:rPr>
        <w:t xml:space="preserve">That parties sued their control of the House of Commons to exclude or impede new and smaller parties </w:t>
      </w:r>
    </w:p>
    <w:p w:rsidR="00EF060D" w:rsidRPr="00146132" w:rsidRDefault="00EF060D" w:rsidP="00EF060D">
      <w:pPr>
        <w:pStyle w:val="ListParagraph"/>
        <w:numPr>
          <w:ilvl w:val="1"/>
          <w:numId w:val="1"/>
        </w:numPr>
        <w:rPr>
          <w:rFonts w:ascii="Times New Roman" w:hAnsi="Times New Roman"/>
          <w:sz w:val="22"/>
        </w:rPr>
      </w:pPr>
      <w:r w:rsidRPr="00146132">
        <w:rPr>
          <w:rFonts w:ascii="Times New Roman" w:hAnsi="Times New Roman"/>
          <w:sz w:val="22"/>
        </w:rPr>
        <w:t>Parties have used state subsidies in their own self-interest</w:t>
      </w:r>
    </w:p>
    <w:p w:rsidR="00EF060D" w:rsidRPr="00146132" w:rsidRDefault="00EF060D" w:rsidP="00EF060D">
      <w:pPr>
        <w:pStyle w:val="ListParagraph"/>
        <w:numPr>
          <w:ilvl w:val="1"/>
          <w:numId w:val="1"/>
        </w:numPr>
        <w:rPr>
          <w:rFonts w:ascii="Times New Roman" w:hAnsi="Times New Roman"/>
          <w:sz w:val="22"/>
        </w:rPr>
      </w:pPr>
      <w:r w:rsidRPr="00146132">
        <w:rPr>
          <w:rFonts w:ascii="Times New Roman" w:hAnsi="Times New Roman"/>
          <w:sz w:val="22"/>
        </w:rPr>
        <w:t>Backlash against the old-line parties</w:t>
      </w:r>
    </w:p>
    <w:p w:rsidR="00EF060D" w:rsidRPr="00146132" w:rsidRDefault="00EF060D" w:rsidP="00EF060D">
      <w:pPr>
        <w:pStyle w:val="ListParagraph"/>
        <w:numPr>
          <w:ilvl w:val="1"/>
          <w:numId w:val="1"/>
        </w:numPr>
        <w:rPr>
          <w:rFonts w:ascii="Times New Roman" w:hAnsi="Times New Roman"/>
          <w:sz w:val="22"/>
        </w:rPr>
      </w:pPr>
      <w:proofErr w:type="spellStart"/>
      <w:r w:rsidRPr="00146132">
        <w:rPr>
          <w:rFonts w:ascii="Times New Roman" w:hAnsi="Times New Roman"/>
          <w:sz w:val="22"/>
        </w:rPr>
        <w:t>Cdn</w:t>
      </w:r>
      <w:proofErr w:type="spellEnd"/>
      <w:r w:rsidRPr="00146132">
        <w:rPr>
          <w:rFonts w:ascii="Times New Roman" w:hAnsi="Times New Roman"/>
          <w:sz w:val="22"/>
        </w:rPr>
        <w:t xml:space="preserve"> parties are changing their leadership selection procedures in order to free their leaders from effective accountability.</w:t>
      </w:r>
    </w:p>
    <w:p w:rsidR="00EF060D" w:rsidRPr="00146132" w:rsidRDefault="00EF060D" w:rsidP="00EF060D">
      <w:pPr>
        <w:pStyle w:val="ListParagraph"/>
        <w:numPr>
          <w:ilvl w:val="0"/>
          <w:numId w:val="1"/>
        </w:numPr>
        <w:rPr>
          <w:rFonts w:ascii="Times New Roman" w:hAnsi="Times New Roman"/>
          <w:sz w:val="22"/>
        </w:rPr>
      </w:pPr>
      <w:r w:rsidRPr="00146132">
        <w:rPr>
          <w:rFonts w:ascii="Times New Roman" w:hAnsi="Times New Roman"/>
          <w:sz w:val="22"/>
        </w:rPr>
        <w:t xml:space="preserve">Even though </w:t>
      </w:r>
      <w:proofErr w:type="spellStart"/>
      <w:r w:rsidRPr="00146132">
        <w:rPr>
          <w:rFonts w:ascii="Times New Roman" w:hAnsi="Times New Roman"/>
          <w:sz w:val="22"/>
        </w:rPr>
        <w:t>Cdn</w:t>
      </w:r>
      <w:proofErr w:type="spellEnd"/>
      <w:r w:rsidRPr="00146132">
        <w:rPr>
          <w:rFonts w:ascii="Times New Roman" w:hAnsi="Times New Roman"/>
          <w:sz w:val="22"/>
        </w:rPr>
        <w:t xml:space="preserve"> parties at the federal level colluded to provide themselves with funding and to hinder the entry of new parties into the system they were not transformed into cartel parties. </w:t>
      </w:r>
    </w:p>
    <w:p w:rsidR="00EF060D" w:rsidRPr="00146132" w:rsidRDefault="00EF060D" w:rsidP="00EF060D">
      <w:pPr>
        <w:pStyle w:val="ListParagraph"/>
        <w:numPr>
          <w:ilvl w:val="0"/>
          <w:numId w:val="1"/>
        </w:numPr>
        <w:rPr>
          <w:rFonts w:ascii="Times New Roman" w:hAnsi="Times New Roman"/>
          <w:sz w:val="22"/>
        </w:rPr>
      </w:pPr>
      <w:proofErr w:type="spellStart"/>
      <w:r w:rsidRPr="00146132">
        <w:rPr>
          <w:rFonts w:ascii="Times New Roman" w:hAnsi="Times New Roman"/>
          <w:sz w:val="22"/>
        </w:rPr>
        <w:t>Cdn</w:t>
      </w:r>
      <w:proofErr w:type="spellEnd"/>
      <w:r w:rsidRPr="00146132">
        <w:rPr>
          <w:rFonts w:ascii="Times New Roman" w:hAnsi="Times New Roman"/>
          <w:sz w:val="22"/>
        </w:rPr>
        <w:t xml:space="preserve"> parties are not primarily reliant on state resources and the formula for public funding do not remove or greatly diminish parties incentives to solicit support from the public and thus ties to the public remain intact.</w:t>
      </w:r>
    </w:p>
    <w:p w:rsidR="00EF060D" w:rsidRPr="00146132" w:rsidRDefault="00EF060D" w:rsidP="00EF060D">
      <w:pPr>
        <w:pStyle w:val="ListParagraph"/>
        <w:numPr>
          <w:ilvl w:val="0"/>
          <w:numId w:val="1"/>
        </w:numPr>
        <w:rPr>
          <w:rFonts w:ascii="Times New Roman" w:hAnsi="Times New Roman"/>
          <w:sz w:val="22"/>
        </w:rPr>
      </w:pPr>
      <w:r w:rsidRPr="00146132">
        <w:rPr>
          <w:rFonts w:ascii="Times New Roman" w:hAnsi="Times New Roman"/>
          <w:sz w:val="22"/>
        </w:rPr>
        <w:t>Little evidence of diminution of party competition.</w:t>
      </w:r>
    </w:p>
    <w:p w:rsidR="00EF060D" w:rsidRPr="00146132" w:rsidRDefault="00EF060D" w:rsidP="00EF060D">
      <w:pPr>
        <w:pStyle w:val="ListParagraph"/>
        <w:numPr>
          <w:ilvl w:val="0"/>
          <w:numId w:val="1"/>
        </w:numPr>
        <w:rPr>
          <w:rFonts w:ascii="Times New Roman" w:hAnsi="Times New Roman"/>
          <w:sz w:val="22"/>
        </w:rPr>
      </w:pPr>
      <w:r w:rsidRPr="00146132">
        <w:rPr>
          <w:rFonts w:ascii="Times New Roman" w:hAnsi="Times New Roman"/>
          <w:sz w:val="22"/>
        </w:rPr>
        <w:t xml:space="preserve">The cartel party acts as an agent of the state, representing the state to society rather than the reverse. </w:t>
      </w:r>
    </w:p>
    <w:p w:rsidR="00EF060D" w:rsidRPr="00146132" w:rsidRDefault="00EF060D" w:rsidP="00EF060D">
      <w:pPr>
        <w:pStyle w:val="ListParagraph"/>
        <w:numPr>
          <w:ilvl w:val="0"/>
          <w:numId w:val="1"/>
        </w:numPr>
        <w:rPr>
          <w:rFonts w:ascii="Times New Roman" w:hAnsi="Times New Roman"/>
          <w:sz w:val="22"/>
        </w:rPr>
      </w:pPr>
      <w:r w:rsidRPr="00146132">
        <w:rPr>
          <w:rFonts w:ascii="Times New Roman" w:hAnsi="Times New Roman"/>
          <w:sz w:val="22"/>
        </w:rPr>
        <w:t xml:space="preserve">Many of the candidates do not receive the full value of the </w:t>
      </w:r>
      <w:proofErr w:type="spellStart"/>
      <w:r w:rsidRPr="00146132">
        <w:rPr>
          <w:rFonts w:ascii="Times New Roman" w:hAnsi="Times New Roman"/>
          <w:sz w:val="22"/>
        </w:rPr>
        <w:t>reimbursment</w:t>
      </w:r>
      <w:proofErr w:type="spellEnd"/>
      <w:r w:rsidRPr="00146132">
        <w:rPr>
          <w:rFonts w:ascii="Times New Roman" w:hAnsi="Times New Roman"/>
          <w:sz w:val="22"/>
        </w:rPr>
        <w:t xml:space="preserve"> they are eligible for.</w:t>
      </w:r>
    </w:p>
    <w:p w:rsidR="00EF060D" w:rsidRPr="00146132" w:rsidRDefault="00EF060D" w:rsidP="00EF060D">
      <w:pPr>
        <w:pStyle w:val="ListParagraph"/>
        <w:numPr>
          <w:ilvl w:val="0"/>
          <w:numId w:val="1"/>
        </w:numPr>
        <w:rPr>
          <w:rFonts w:ascii="Times New Roman" w:hAnsi="Times New Roman"/>
          <w:sz w:val="22"/>
        </w:rPr>
      </w:pPr>
      <w:r w:rsidRPr="00146132">
        <w:rPr>
          <w:rFonts w:ascii="Times New Roman" w:hAnsi="Times New Roman"/>
          <w:sz w:val="22"/>
        </w:rPr>
        <w:t>For the most part, the parties have used their cartel power to lessen the stringency of the rules they set for themselves, not to draw more heavily on the state.</w:t>
      </w:r>
    </w:p>
    <w:p w:rsidR="00EF060D" w:rsidRPr="00146132" w:rsidRDefault="00EF060D" w:rsidP="00EF060D">
      <w:pPr>
        <w:pStyle w:val="ListParagraph"/>
        <w:numPr>
          <w:ilvl w:val="0"/>
          <w:numId w:val="1"/>
        </w:numPr>
        <w:rPr>
          <w:rFonts w:ascii="Times New Roman" w:hAnsi="Times New Roman"/>
          <w:sz w:val="22"/>
        </w:rPr>
      </w:pPr>
      <w:r w:rsidRPr="00146132">
        <w:rPr>
          <w:rFonts w:ascii="Times New Roman" w:hAnsi="Times New Roman"/>
          <w:sz w:val="22"/>
        </w:rPr>
        <w:t>Challenge to parties from outside interest groups – this isn’t consistent with cartel model.</w:t>
      </w:r>
    </w:p>
    <w:p w:rsidR="00EF060D" w:rsidRPr="00146132" w:rsidRDefault="00EF060D" w:rsidP="00EF060D">
      <w:pPr>
        <w:pStyle w:val="ListParagraph"/>
        <w:numPr>
          <w:ilvl w:val="0"/>
          <w:numId w:val="1"/>
        </w:numPr>
        <w:rPr>
          <w:rFonts w:ascii="Times New Roman" w:hAnsi="Times New Roman"/>
          <w:sz w:val="22"/>
        </w:rPr>
      </w:pPr>
      <w:r w:rsidRPr="00146132">
        <w:rPr>
          <w:rFonts w:ascii="Times New Roman" w:hAnsi="Times New Roman"/>
          <w:sz w:val="22"/>
        </w:rPr>
        <w:t xml:space="preserve">Concludes that the cartel model has limited applicability in </w:t>
      </w:r>
      <w:proofErr w:type="spellStart"/>
      <w:r w:rsidRPr="00146132">
        <w:rPr>
          <w:rFonts w:ascii="Times New Roman" w:hAnsi="Times New Roman"/>
          <w:sz w:val="22"/>
        </w:rPr>
        <w:t>anglo-american</w:t>
      </w:r>
      <w:proofErr w:type="spellEnd"/>
      <w:r w:rsidRPr="00146132">
        <w:rPr>
          <w:rFonts w:ascii="Times New Roman" w:hAnsi="Times New Roman"/>
          <w:sz w:val="22"/>
        </w:rPr>
        <w:t xml:space="preserve"> political systems.</w:t>
      </w:r>
    </w:p>
    <w:p w:rsidR="00EF060D" w:rsidRPr="00146132" w:rsidRDefault="00EF060D" w:rsidP="00EF060D">
      <w:pPr>
        <w:rPr>
          <w:rFonts w:ascii="Times New Roman" w:hAnsi="Times New Roman"/>
          <w:sz w:val="22"/>
        </w:rPr>
      </w:pPr>
    </w:p>
    <w:p w:rsidR="0081648C" w:rsidRDefault="00EF060D"/>
    <w:sectPr w:rsidR="0081648C" w:rsidSect="00EF060D">
      <w:type w:val="continuous"/>
      <w:pgSz w:w="12240" w:h="15840"/>
      <w:pgMar w:top="1440" w:right="1467" w:bottom="1440" w:left="1418"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altName w:val="Times"/>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222F03"/>
    <w:multiLevelType w:val="hybridMultilevel"/>
    <w:tmpl w:val="00AC222C"/>
    <w:lvl w:ilvl="0" w:tplc="B2FAB310">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F060D"/>
    <w:rsid w:val="00EF060D"/>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060D"/>
    <w:pPr>
      <w:spacing w:after="0"/>
    </w:pPr>
    <w:rPr>
      <w:rFonts w:ascii="Cambria" w:eastAsia="Cambria" w:hAnsi="Cambria" w:cs="Times New Roman"/>
      <w:lang w:val="en-AU"/>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F060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2012-04-19T13:26:00Z</dcterms:created>
  <dcterms:modified xsi:type="dcterms:W3CDTF">2012-04-19T13:29:00Z</dcterms:modified>
</cp:coreProperties>
</file>